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91657" w14:textId="77777777" w:rsidR="005D7D72" w:rsidRPr="00EF706D" w:rsidRDefault="005D7D72" w:rsidP="005D7D72">
      <w:pPr>
        <w:shd w:val="clear" w:color="auto" w:fill="FFFFFF" w:themeFill="background1"/>
        <w:jc w:val="right"/>
        <w:rPr>
          <w:color w:val="000000" w:themeColor="text1"/>
        </w:rPr>
      </w:pPr>
      <w:bookmarkStart w:id="0" w:name="_GoBack"/>
      <w:bookmarkEnd w:id="0"/>
      <w:r w:rsidRPr="00EF706D">
        <w:rPr>
          <w:color w:val="000000" w:themeColor="text1"/>
        </w:rPr>
        <w:t xml:space="preserve">Додаток 1 до протоколу </w:t>
      </w:r>
    </w:p>
    <w:p w14:paraId="2C9AE6C4" w14:textId="028BF6BF" w:rsidR="005D7D72" w:rsidRPr="00EF706D" w:rsidRDefault="005D7D72" w:rsidP="005D7D72">
      <w:pPr>
        <w:shd w:val="clear" w:color="auto" w:fill="FFFFFF" w:themeFill="background1"/>
        <w:jc w:val="right"/>
        <w:rPr>
          <w:color w:val="000000" w:themeColor="text1"/>
        </w:rPr>
      </w:pPr>
      <w:r w:rsidRPr="00EF706D">
        <w:rPr>
          <w:color w:val="000000" w:themeColor="text1"/>
        </w:rPr>
        <w:t>тендерного комітету №9</w:t>
      </w:r>
      <w:r w:rsidR="00331ADB" w:rsidRPr="00EF706D">
        <w:rPr>
          <w:color w:val="000000" w:themeColor="text1"/>
          <w:lang w:val="en-US"/>
        </w:rPr>
        <w:t>9</w:t>
      </w:r>
      <w:r w:rsidRPr="00EF706D">
        <w:rPr>
          <w:color w:val="000000" w:themeColor="text1"/>
        </w:rPr>
        <w:t xml:space="preserve"> </w:t>
      </w:r>
    </w:p>
    <w:p w14:paraId="4D93BAE7" w14:textId="7AFB7327" w:rsidR="005D7D72" w:rsidRDefault="005D7D72" w:rsidP="005D7D72">
      <w:pPr>
        <w:shd w:val="clear" w:color="auto" w:fill="FFFFFF" w:themeFill="background1"/>
        <w:jc w:val="right"/>
        <w:rPr>
          <w:color w:val="000000" w:themeColor="text1"/>
        </w:rPr>
      </w:pPr>
      <w:r w:rsidRPr="00EF706D">
        <w:rPr>
          <w:color w:val="000000" w:themeColor="text1"/>
        </w:rPr>
        <w:t xml:space="preserve">від </w:t>
      </w:r>
      <w:r w:rsidR="00B166BA" w:rsidRPr="00EF706D">
        <w:rPr>
          <w:color w:val="000000" w:themeColor="text1"/>
        </w:rPr>
        <w:t>«</w:t>
      </w:r>
      <w:r w:rsidR="00331ADB" w:rsidRPr="00EF706D">
        <w:rPr>
          <w:color w:val="000000" w:themeColor="text1"/>
          <w:lang w:val="en-US"/>
        </w:rPr>
        <w:t>27</w:t>
      </w:r>
      <w:r w:rsidR="00B166BA" w:rsidRPr="00EF706D">
        <w:rPr>
          <w:color w:val="000000" w:themeColor="text1"/>
        </w:rPr>
        <w:t>»</w:t>
      </w:r>
      <w:r w:rsidRPr="00EF706D">
        <w:rPr>
          <w:color w:val="000000" w:themeColor="text1"/>
        </w:rPr>
        <w:t xml:space="preserve"> серпня 2021 року</w:t>
      </w:r>
    </w:p>
    <w:p w14:paraId="4874F139" w14:textId="77777777" w:rsidR="005D7D72" w:rsidRPr="003D3D45" w:rsidRDefault="005D7D72" w:rsidP="005D7D72">
      <w:pPr>
        <w:shd w:val="clear" w:color="auto" w:fill="FFFFFF" w:themeFill="background1"/>
        <w:jc w:val="center"/>
        <w:rPr>
          <w:b/>
          <w:color w:val="000000" w:themeColor="text1"/>
          <w:sz w:val="16"/>
          <w:szCs w:val="16"/>
        </w:rPr>
      </w:pPr>
    </w:p>
    <w:p w14:paraId="4956F5F7" w14:textId="5B9D2445" w:rsidR="005D7D72" w:rsidRPr="00800980" w:rsidRDefault="005D7D72" w:rsidP="005D7D72">
      <w:pPr>
        <w:shd w:val="clear" w:color="auto" w:fill="FFFFFF" w:themeFill="background1"/>
        <w:jc w:val="center"/>
        <w:rPr>
          <w:b/>
          <w:shd w:val="clear" w:color="auto" w:fill="FFFFFF" w:themeFill="background1"/>
        </w:rPr>
      </w:pPr>
      <w:r w:rsidRPr="00C24918">
        <w:rPr>
          <w:b/>
          <w:color w:val="000000" w:themeColor="text1"/>
        </w:rPr>
        <w:t xml:space="preserve">Обгрунтування </w:t>
      </w:r>
      <w:r w:rsidRPr="00800980">
        <w:rPr>
          <w:b/>
        </w:rPr>
        <w:t xml:space="preserve">технічних та якісних характеристик предмета закупівлі </w:t>
      </w:r>
      <w:r w:rsidRPr="00800980">
        <w:rPr>
          <w:b/>
          <w:shd w:val="clear" w:color="auto" w:fill="FFFFFF" w:themeFill="background1"/>
        </w:rPr>
        <w:t>«</w:t>
      </w:r>
      <w:r w:rsidRPr="00717632">
        <w:rPr>
          <w:b/>
          <w:highlight w:val="white"/>
        </w:rPr>
        <w:t>Послуги з підключення закладів соціальної інфраструктури до широкосмугового доступу до Інтернету</w:t>
      </w:r>
      <w:r>
        <w:rPr>
          <w:b/>
        </w:rPr>
        <w:t xml:space="preserve"> </w:t>
      </w:r>
      <w:r w:rsidRPr="00600B00">
        <w:rPr>
          <w:b/>
        </w:rPr>
        <w:t>(село Черепівка)</w:t>
      </w:r>
      <w:r w:rsidRPr="00717632">
        <w:rPr>
          <w:b/>
        </w:rPr>
        <w:t>, код ДК 021:2015-72410000-7 Послуги провайдерів</w:t>
      </w:r>
      <w:r w:rsidRPr="00800980">
        <w:rPr>
          <w:b/>
          <w:shd w:val="clear" w:color="auto" w:fill="F0F5F2"/>
        </w:rPr>
        <w:t>»</w:t>
      </w:r>
    </w:p>
    <w:p w14:paraId="2826F1E7" w14:textId="77777777" w:rsidR="005D7D72" w:rsidRPr="003D3D45" w:rsidRDefault="005D7D72" w:rsidP="005D7D72">
      <w:pPr>
        <w:shd w:val="clear" w:color="auto" w:fill="FFFFFF" w:themeFill="background1"/>
        <w:rPr>
          <w:b/>
          <w:sz w:val="16"/>
          <w:szCs w:val="16"/>
        </w:rPr>
      </w:pPr>
    </w:p>
    <w:p w14:paraId="791AF757" w14:textId="4FDFEF16" w:rsidR="005D7D72" w:rsidRPr="002E16D7" w:rsidRDefault="005D7D72" w:rsidP="005D7D72">
      <w:pPr>
        <w:shd w:val="clear" w:color="auto" w:fill="FFFFFF" w:themeFill="background1"/>
        <w:ind w:firstLine="284"/>
        <w:jc w:val="both"/>
      </w:pPr>
      <w:r w:rsidRPr="00331ADB">
        <w:rPr>
          <w:color w:val="000000" w:themeColor="text1"/>
        </w:rPr>
        <w:t xml:space="preserve">На </w:t>
      </w:r>
      <w:r w:rsidRPr="00331ADB">
        <w:t xml:space="preserve">виконання </w:t>
      </w:r>
      <w:r w:rsidR="00331ADB" w:rsidRPr="00331ADB">
        <w:t>Постанови Кабінету Міністрів України від 28.042021 року №453 «Питання надання 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w:t>
      </w:r>
      <w:r w:rsidRPr="00331ADB">
        <w:t xml:space="preserve"> в межах кошторисних призначень є потреба в закупівлі п</w:t>
      </w:r>
      <w:r w:rsidRPr="00331ADB">
        <w:rPr>
          <w:shd w:val="clear" w:color="auto" w:fill="FFFFFF" w:themeFill="background1"/>
        </w:rPr>
        <w:t xml:space="preserve">ослуги з </w:t>
      </w:r>
      <w:r w:rsidRPr="00331ADB">
        <w:t xml:space="preserve">підключення закладів соціальної інфраструктури </w:t>
      </w:r>
      <w:r w:rsidRPr="005D7D72">
        <w:rPr>
          <w:highlight w:val="white"/>
        </w:rPr>
        <w:t>до широкосмугового доступу до Інтернету</w:t>
      </w:r>
      <w:r w:rsidRPr="005D7D72">
        <w:t>.</w:t>
      </w:r>
    </w:p>
    <w:p w14:paraId="1A8FCF4D" w14:textId="77777777" w:rsidR="005D7D72" w:rsidRDefault="005D7D72" w:rsidP="005D7D72">
      <w:pPr>
        <w:pStyle w:val="20"/>
        <w:tabs>
          <w:tab w:val="left" w:pos="284"/>
        </w:tabs>
        <w:spacing w:after="0" w:line="240" w:lineRule="auto"/>
        <w:ind w:left="0"/>
        <w:jc w:val="both"/>
        <w:rPr>
          <w:rFonts w:ascii="Times New Roman" w:hAnsi="Times New Roman" w:cs="Times New Roman"/>
          <w:b/>
        </w:rPr>
      </w:pPr>
      <w:r w:rsidRPr="0022185C">
        <w:rPr>
          <w:rFonts w:ascii="Times New Roman" w:hAnsi="Times New Roman" w:cs="Times New Roman"/>
          <w:b/>
        </w:rPr>
        <w:t>Технічні вимоги до предмета закупівлі:</w:t>
      </w:r>
    </w:p>
    <w:p w14:paraId="30F60BF7" w14:textId="48A62A59" w:rsidR="005D7D72" w:rsidRPr="00B47D38" w:rsidRDefault="005D7D72" w:rsidP="005D7D72">
      <w:pPr>
        <w:pStyle w:val="st2"/>
        <w:spacing w:after="0"/>
        <w:rPr>
          <w:rStyle w:val="st42"/>
          <w:color w:val="000000" w:themeColor="text1"/>
        </w:rPr>
      </w:pPr>
      <w:r w:rsidRPr="00B47D38">
        <w:rPr>
          <w:rStyle w:val="st42"/>
          <w:color w:val="000000" w:themeColor="text1"/>
        </w:rPr>
        <w:t xml:space="preserve">1. Телекомунікаційні послуги з надання доступу до Інтернету (далі - послуги) надаються відповідно до вимог законодавства, </w:t>
      </w:r>
      <w:hyperlink r:id="rId8" w:history="1">
        <w:r w:rsidRPr="00B47D38">
          <w:rPr>
            <w:rStyle w:val="st910"/>
            <w:color w:val="000000" w:themeColor="text1"/>
          </w:rPr>
          <w:t>Правил надання та отримання телекомунікаційних послуг</w:t>
        </w:r>
      </w:hyperlink>
      <w:r w:rsidRPr="00B47D38">
        <w:rPr>
          <w:rStyle w:val="st42"/>
          <w:color w:val="000000" w:themeColor="text1"/>
        </w:rPr>
        <w:t>, затверджених постановою Кабінету Міністрів України від 11 квітня 2012 р. № 295 (Офіційний вісник України, 2012 р., № 29, ст. 1074), та інших нормативно-правових актів та забезпечують цілодобове надання у користування та обслуговування каналів передачі даних на всіх вузлах телекомунікаційної мережі.</w:t>
      </w:r>
    </w:p>
    <w:p w14:paraId="6A35CACF" w14:textId="77777777" w:rsidR="005D7D72" w:rsidRPr="00B47D38" w:rsidRDefault="005D7D72" w:rsidP="005D7D72">
      <w:pPr>
        <w:pStyle w:val="st2"/>
        <w:spacing w:after="0"/>
        <w:rPr>
          <w:rStyle w:val="st42"/>
          <w:color w:val="000000" w:themeColor="text1"/>
        </w:rPr>
      </w:pPr>
      <w:r w:rsidRPr="00B47D38">
        <w:rPr>
          <w:rStyle w:val="st42"/>
          <w:color w:val="000000" w:themeColor="text1"/>
        </w:rPr>
        <w:t>2. Усе обладнання, зокрема кабелі до інтерфейсу локального мережевого обладнання вузлів телекомунікаційної мережі, надається, встановлюється та налагоджується виконавцем у рамках договору надання послуг з підключення закладів соціальної інфраструктури до широкосмугового доступу до Інтернету, закупівля яких здійснюється за рахунок субвенції.</w:t>
      </w:r>
    </w:p>
    <w:p w14:paraId="2CB25D5D" w14:textId="77777777" w:rsidR="005D7D72" w:rsidRPr="00B47D38" w:rsidRDefault="005D7D72" w:rsidP="005D7D72">
      <w:pPr>
        <w:pStyle w:val="st2"/>
        <w:spacing w:after="0"/>
        <w:rPr>
          <w:rStyle w:val="st42"/>
          <w:color w:val="000000" w:themeColor="text1"/>
        </w:rPr>
      </w:pPr>
      <w:r w:rsidRPr="00B47D38">
        <w:rPr>
          <w:rStyle w:val="st42"/>
          <w:color w:val="000000" w:themeColor="text1"/>
        </w:rPr>
        <w:t>3. Організація надання послуги передбачає можливість збільшення пропускної здатності каналів доступу до Інтернету залежно від потреб замовника, що має бути предметом окремих домовленостей сторін.</w:t>
      </w:r>
    </w:p>
    <w:p w14:paraId="51B47D6B" w14:textId="77777777" w:rsidR="005D7D72" w:rsidRPr="00B47D38" w:rsidRDefault="005D7D72" w:rsidP="005D7D72">
      <w:pPr>
        <w:pStyle w:val="st2"/>
        <w:spacing w:after="0"/>
        <w:rPr>
          <w:rStyle w:val="st42"/>
          <w:color w:val="000000" w:themeColor="text1"/>
        </w:rPr>
      </w:pPr>
      <w:r w:rsidRPr="00B47D38">
        <w:rPr>
          <w:rStyle w:val="st42"/>
          <w:color w:val="000000" w:themeColor="text1"/>
        </w:rPr>
        <w:t>4. Виконавець забезпечує можливість з’єднання кінцевого обладнання замовника з Інтернетом з використанням адрес IPv4 .</w:t>
      </w:r>
    </w:p>
    <w:p w14:paraId="143C5A66" w14:textId="77777777" w:rsidR="005D7D72" w:rsidRPr="00B47D38" w:rsidRDefault="005D7D72" w:rsidP="005D7D72">
      <w:pPr>
        <w:pStyle w:val="st2"/>
        <w:spacing w:after="0"/>
        <w:rPr>
          <w:rStyle w:val="st42"/>
          <w:color w:val="000000" w:themeColor="text1"/>
        </w:rPr>
      </w:pPr>
      <w:r w:rsidRPr="00B47D38">
        <w:rPr>
          <w:rStyle w:val="st42"/>
          <w:color w:val="000000" w:themeColor="text1"/>
        </w:rPr>
        <w:t>5. Виконавець забезпечує надання статичної зовнішньої ІР-адреси кожному закладу соціальної інфраструктури.</w:t>
      </w:r>
    </w:p>
    <w:p w14:paraId="6A64BD70" w14:textId="77777777" w:rsidR="005D7D72" w:rsidRPr="00B47D38" w:rsidRDefault="005D7D72" w:rsidP="005D7D72">
      <w:pPr>
        <w:pStyle w:val="st2"/>
        <w:spacing w:after="0"/>
        <w:rPr>
          <w:rStyle w:val="st42"/>
          <w:color w:val="000000" w:themeColor="text1"/>
        </w:rPr>
      </w:pPr>
      <w:r w:rsidRPr="00B47D38">
        <w:rPr>
          <w:rStyle w:val="st42"/>
          <w:color w:val="000000" w:themeColor="text1"/>
        </w:rPr>
        <w:t>6. Виконавець забезпечує підготовку каналу та підключення без сплати замовником додаткових коштів і потреби купувати додаткове обладнання.</w:t>
      </w:r>
    </w:p>
    <w:p w14:paraId="35C46F58" w14:textId="77777777" w:rsidR="005D7D72" w:rsidRPr="00B47D38" w:rsidRDefault="005D7D72" w:rsidP="005D7D72">
      <w:pPr>
        <w:pStyle w:val="st2"/>
        <w:spacing w:after="0"/>
        <w:rPr>
          <w:rStyle w:val="st42"/>
          <w:color w:val="000000" w:themeColor="text1"/>
        </w:rPr>
      </w:pPr>
      <w:r w:rsidRPr="00B47D38">
        <w:rPr>
          <w:rStyle w:val="st42"/>
          <w:color w:val="000000" w:themeColor="text1"/>
        </w:rPr>
        <w:t>7. На ділянках телекомунікаційної мережі виконавця, що використовується для надання послуг, не допускається застосування радіотехнологій.</w:t>
      </w:r>
    </w:p>
    <w:p w14:paraId="4BF04DE6" w14:textId="77777777" w:rsidR="005D7D72" w:rsidRPr="00B47D38" w:rsidRDefault="005D7D72" w:rsidP="005D7D72">
      <w:pPr>
        <w:pStyle w:val="st2"/>
        <w:spacing w:after="0"/>
        <w:rPr>
          <w:rStyle w:val="st42"/>
          <w:color w:val="000000" w:themeColor="text1"/>
        </w:rPr>
      </w:pPr>
      <w:r w:rsidRPr="00B47D38">
        <w:rPr>
          <w:rStyle w:val="st42"/>
          <w:color w:val="000000" w:themeColor="text1"/>
        </w:rPr>
        <w:t>8. Умови надання послуги передбачають безлімітний доступ до Інтернету, що не обмежує обсяг передавання та приймання даних.</w:t>
      </w:r>
    </w:p>
    <w:p w14:paraId="5CE93C9B" w14:textId="77777777" w:rsidR="005D7D72" w:rsidRPr="00B47D38" w:rsidRDefault="005D7D72" w:rsidP="005D7D72">
      <w:pPr>
        <w:pStyle w:val="st2"/>
        <w:spacing w:after="0"/>
        <w:rPr>
          <w:rStyle w:val="st42"/>
          <w:color w:val="000000" w:themeColor="text1"/>
        </w:rPr>
      </w:pPr>
      <w:r w:rsidRPr="00B47D38">
        <w:rPr>
          <w:rStyle w:val="st42"/>
          <w:color w:val="000000" w:themeColor="text1"/>
        </w:rPr>
        <w:t>9. Запланована недоступність послуг - до 8 годин на місяць; аварійна недоступність послуг - 48 годин на місяць.</w:t>
      </w:r>
    </w:p>
    <w:p w14:paraId="7AC6EE28" w14:textId="77777777" w:rsidR="005D7D72" w:rsidRPr="00B47D38" w:rsidRDefault="005D7D72" w:rsidP="005D7D72">
      <w:pPr>
        <w:pStyle w:val="st2"/>
        <w:spacing w:after="0"/>
        <w:rPr>
          <w:rStyle w:val="st42"/>
          <w:color w:val="000000" w:themeColor="text1"/>
        </w:rPr>
      </w:pPr>
      <w:r w:rsidRPr="00B47D38">
        <w:rPr>
          <w:rStyle w:val="st42"/>
          <w:color w:val="000000" w:themeColor="text1"/>
        </w:rPr>
        <w:t>Виконавець забезпечує можливість використання послуг з доступу до Інтернету для персоналу та відвідувачів закладів соціальної інфраструктури за допомогою мережі Wi-Fi у частотах 2,4 та 5 ГГц.</w:t>
      </w:r>
    </w:p>
    <w:p w14:paraId="3CAB6B4B" w14:textId="77777777" w:rsidR="005D7D72" w:rsidRPr="00B47D38" w:rsidRDefault="005D7D72" w:rsidP="005D7D72">
      <w:pPr>
        <w:pStyle w:val="st2"/>
        <w:spacing w:after="0"/>
        <w:rPr>
          <w:rStyle w:val="st42"/>
          <w:color w:val="000000" w:themeColor="text1"/>
        </w:rPr>
      </w:pPr>
      <w:r w:rsidRPr="00B47D38">
        <w:rPr>
          <w:rStyle w:val="st42"/>
          <w:color w:val="000000" w:themeColor="text1"/>
        </w:rPr>
        <w:t>Виконавець використовує безпроводовий маршрутизатор з розрахунку не більше одного маршрутизатора на один заклад соціальної інфраструктури.</w:t>
      </w:r>
    </w:p>
    <w:p w14:paraId="173FF257" w14:textId="77777777" w:rsidR="005D7D72" w:rsidRPr="00B47D38" w:rsidRDefault="005D7D72" w:rsidP="005D7D72">
      <w:pPr>
        <w:pStyle w:val="st2"/>
        <w:spacing w:after="0"/>
        <w:rPr>
          <w:rStyle w:val="st42"/>
          <w:color w:val="000000" w:themeColor="text1"/>
        </w:rPr>
      </w:pPr>
      <w:r w:rsidRPr="00B47D38">
        <w:rPr>
          <w:rStyle w:val="st42"/>
          <w:color w:val="000000" w:themeColor="text1"/>
        </w:rPr>
        <w:t>10. Виконавець приймає звернення (повідомлення) замовника цілодобово, без перерв та вихідних телефоном та на електронну адресу виконавця.</w:t>
      </w:r>
    </w:p>
    <w:p w14:paraId="0B40C222" w14:textId="77777777" w:rsidR="005D7D72" w:rsidRDefault="005D7D72" w:rsidP="005D7D72">
      <w:pPr>
        <w:ind w:firstLine="426"/>
        <w:jc w:val="both"/>
        <w:rPr>
          <w:rStyle w:val="st42"/>
          <w:color w:val="000000" w:themeColor="text1"/>
        </w:rPr>
      </w:pPr>
      <w:r w:rsidRPr="00B47D38">
        <w:rPr>
          <w:rStyle w:val="st42"/>
          <w:color w:val="000000" w:themeColor="text1"/>
        </w:rPr>
        <w:t>11. Звернення (повідомлення) замовника повинно обов’язково містити найменування замовника, ім’я, прізвище, контактний телефон особи, що звертається, найменування та місцезнаходження закладу соціальної інфраструктури, в якому виникла проблема з наданням послуги; причину звернення.</w:t>
      </w:r>
    </w:p>
    <w:p w14:paraId="4C8876D9" w14:textId="77777777" w:rsidR="00EF706D" w:rsidRDefault="00EF706D" w:rsidP="00EF706D">
      <w:pPr>
        <w:ind w:firstLine="426"/>
        <w:jc w:val="both"/>
      </w:pPr>
      <w:r>
        <w:rPr>
          <w:rStyle w:val="st42"/>
          <w:color w:val="000000" w:themeColor="text1"/>
        </w:rPr>
        <w:t>12. До</w:t>
      </w:r>
      <w:r w:rsidRPr="005A5722">
        <w:rPr>
          <w:rStyle w:val="st42"/>
          <w:color w:val="000000" w:themeColor="text1"/>
        </w:rPr>
        <w:t xml:space="preserve"> 31 грудня 2022 р. послуга широкосмугового доступу до Інтернету надається без утримання оператором/провайдером телекомунікацій абонентської плати, яка включається у вартість підключення</w:t>
      </w:r>
      <w:r>
        <w:rPr>
          <w:rStyle w:val="st42"/>
          <w:color w:val="000000" w:themeColor="text1"/>
        </w:rPr>
        <w:t xml:space="preserve"> (</w:t>
      </w:r>
      <w:r>
        <w:t>надання</w:t>
      </w:r>
      <w:r w:rsidRPr="00E05324">
        <w:t xml:space="preserve"> послуги із забезпечення безлімітного доступу до Інтернету із </w:t>
      </w:r>
      <w:r w:rsidRPr="00E05324">
        <w:lastRenderedPageBreak/>
        <w:t>швидкістю не менше 500 Мбіт/с протягом 30 календарних днів починаючи з дати підписання акта здачі-приймання наданих послуг та із швидкістю не менше 100 Мбіт/с до 31 грудня 2022</w:t>
      </w:r>
      <w:r w:rsidRPr="00A37181">
        <w:t> </w:t>
      </w:r>
      <w:r>
        <w:t>р.).</w:t>
      </w:r>
    </w:p>
    <w:p w14:paraId="5411DE42" w14:textId="77777777" w:rsidR="00EF706D" w:rsidRPr="00B47D38" w:rsidRDefault="00EF706D" w:rsidP="005D7D72">
      <w:pPr>
        <w:ind w:firstLine="426"/>
        <w:jc w:val="both"/>
        <w:rPr>
          <w:rStyle w:val="st42"/>
          <w:color w:val="000000" w:themeColor="text1"/>
        </w:rPr>
      </w:pPr>
    </w:p>
    <w:p w14:paraId="6646C4AB" w14:textId="77777777" w:rsidR="005D7D72" w:rsidRDefault="005D7D72" w:rsidP="005D7D72">
      <w:pPr>
        <w:pStyle w:val="a5"/>
        <w:shd w:val="clear" w:color="auto" w:fill="FFFFFF" w:themeFill="background1"/>
        <w:ind w:left="284"/>
        <w:jc w:val="both"/>
        <w:rPr>
          <w:color w:val="000000" w:themeColor="text1"/>
        </w:rPr>
      </w:pPr>
    </w:p>
    <w:p w14:paraId="4E1873E8" w14:textId="77777777" w:rsidR="003D3D45" w:rsidRPr="003D3D45" w:rsidRDefault="003D3D45" w:rsidP="005D7D72">
      <w:pPr>
        <w:pStyle w:val="a5"/>
        <w:shd w:val="clear" w:color="auto" w:fill="FFFFFF" w:themeFill="background1"/>
        <w:ind w:left="284"/>
        <w:jc w:val="both"/>
        <w:rPr>
          <w:color w:val="000000" w:themeColor="text1"/>
          <w:sz w:val="16"/>
          <w:szCs w:val="16"/>
        </w:rPr>
      </w:pPr>
    </w:p>
    <w:tbl>
      <w:tblPr>
        <w:tblW w:w="5000" w:type="pct"/>
        <w:tblInd w:w="-20" w:type="dxa"/>
        <w:tblLayout w:type="fixed"/>
        <w:tblCellMar>
          <w:left w:w="10" w:type="dxa"/>
          <w:right w:w="10" w:type="dxa"/>
        </w:tblCellMar>
        <w:tblLook w:val="04A0" w:firstRow="1" w:lastRow="0" w:firstColumn="1" w:lastColumn="0" w:noHBand="0" w:noVBand="1"/>
      </w:tblPr>
      <w:tblGrid>
        <w:gridCol w:w="3837"/>
        <w:gridCol w:w="2846"/>
        <w:gridCol w:w="2955"/>
      </w:tblGrid>
      <w:tr w:rsidR="005D7D72" w14:paraId="69440DF7" w14:textId="77777777" w:rsidTr="006B5C2F">
        <w:trPr>
          <w:trHeight w:val="43"/>
        </w:trPr>
        <w:tc>
          <w:tcPr>
            <w:tcW w:w="3837" w:type="dxa"/>
            <w:tcMar>
              <w:top w:w="28" w:type="dxa"/>
              <w:left w:w="28" w:type="dxa"/>
              <w:bottom w:w="28" w:type="dxa"/>
              <w:right w:w="28" w:type="dxa"/>
            </w:tcMar>
            <w:hideMark/>
          </w:tcPr>
          <w:p w14:paraId="43F3B694" w14:textId="77777777" w:rsidR="005D7D72" w:rsidRDefault="005D7D72" w:rsidP="006B5C2F">
            <w:pPr>
              <w:pStyle w:val="TableContents"/>
              <w:spacing w:after="150"/>
            </w:pPr>
            <w:r>
              <w:rPr>
                <w:rFonts w:ascii="Times New Roman" w:hAnsi="Times New Roman" w:cs="Times New Roman"/>
                <w:color w:val="000000"/>
                <w:sz w:val="24"/>
              </w:rPr>
              <w:t xml:space="preserve">  Голова тендерного комітету:                   </w:t>
            </w:r>
          </w:p>
        </w:tc>
        <w:tc>
          <w:tcPr>
            <w:tcW w:w="2846" w:type="dxa"/>
            <w:tcMar>
              <w:top w:w="28" w:type="dxa"/>
              <w:left w:w="28" w:type="dxa"/>
              <w:bottom w:w="28" w:type="dxa"/>
              <w:right w:w="28" w:type="dxa"/>
            </w:tcMar>
          </w:tcPr>
          <w:p w14:paraId="77B0192A" w14:textId="77777777" w:rsidR="005D7D72" w:rsidRDefault="005D7D72" w:rsidP="006B5C2F">
            <w:pPr>
              <w:pStyle w:val="TableContents"/>
              <w:spacing w:after="150"/>
              <w:rPr>
                <w:rFonts w:ascii="Times New Roman" w:hAnsi="Times New Roman" w:cs="Times New Roman"/>
                <w:sz w:val="24"/>
              </w:rPr>
            </w:pPr>
            <w:r>
              <w:rPr>
                <w:rFonts w:ascii="Times New Roman" w:hAnsi="Times New Roman" w:cs="Times New Roman"/>
                <w:sz w:val="24"/>
              </w:rPr>
              <w:t xml:space="preserve">                __________</w:t>
            </w:r>
          </w:p>
          <w:p w14:paraId="39C25273" w14:textId="77777777" w:rsidR="005D7D72" w:rsidRDefault="005D7D72" w:rsidP="006B5C2F">
            <w:pPr>
              <w:pStyle w:val="TableContents"/>
              <w:spacing w:after="150"/>
              <w:jc w:val="center"/>
              <w:rPr>
                <w:rFonts w:ascii="Times New Roman" w:hAnsi="Times New Roman" w:cs="Times New Roman"/>
                <w:sz w:val="24"/>
              </w:rPr>
            </w:pPr>
          </w:p>
        </w:tc>
        <w:tc>
          <w:tcPr>
            <w:tcW w:w="2955" w:type="dxa"/>
            <w:tcMar>
              <w:top w:w="28" w:type="dxa"/>
              <w:left w:w="28" w:type="dxa"/>
              <w:bottom w:w="28" w:type="dxa"/>
              <w:right w:w="28" w:type="dxa"/>
            </w:tcMar>
            <w:hideMark/>
          </w:tcPr>
          <w:p w14:paraId="6EE1D8B8" w14:textId="77777777" w:rsidR="005D7D72" w:rsidRDefault="005D7D72" w:rsidP="006B5C2F">
            <w:pPr>
              <w:pStyle w:val="TableContents"/>
              <w:spacing w:after="150"/>
              <w:rPr>
                <w:rFonts w:ascii="Times New Roman" w:hAnsi="Times New Roman" w:cs="Times New Roman"/>
                <w:sz w:val="24"/>
              </w:rPr>
            </w:pPr>
            <w:r>
              <w:rPr>
                <w:rFonts w:ascii="Times New Roman" w:hAnsi="Times New Roman" w:cs="Times New Roman"/>
                <w:sz w:val="24"/>
              </w:rPr>
              <w:t xml:space="preserve">         Ю. САБІЙ</w:t>
            </w:r>
          </w:p>
        </w:tc>
      </w:tr>
    </w:tbl>
    <w:p w14:paraId="72D8B822" w14:textId="77777777" w:rsidR="005D7D72" w:rsidRPr="0022185C" w:rsidRDefault="005D7D72" w:rsidP="005D7D72">
      <w:pPr>
        <w:pStyle w:val="a5"/>
        <w:shd w:val="clear" w:color="auto" w:fill="FFFFFF" w:themeFill="background1"/>
        <w:ind w:left="284"/>
        <w:jc w:val="both"/>
        <w:rPr>
          <w:color w:val="000000" w:themeColor="text1"/>
        </w:rPr>
      </w:pPr>
    </w:p>
    <w:p w14:paraId="4A4D77E6" w14:textId="77777777" w:rsidR="005D7D72" w:rsidRDefault="005D7D72" w:rsidP="00637C0F">
      <w:pPr>
        <w:jc w:val="both"/>
        <w:rPr>
          <w:color w:val="000000"/>
        </w:rPr>
      </w:pPr>
    </w:p>
    <w:sectPr w:rsidR="005D7D72" w:rsidSect="0079593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2AB83" w14:textId="77777777" w:rsidR="00E12C9C" w:rsidRDefault="00E12C9C" w:rsidP="00613C00">
      <w:r>
        <w:separator/>
      </w:r>
    </w:p>
  </w:endnote>
  <w:endnote w:type="continuationSeparator" w:id="0">
    <w:p w14:paraId="69D69DC8" w14:textId="77777777" w:rsidR="00E12C9C" w:rsidRDefault="00E12C9C"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A0D8D" w14:textId="77777777" w:rsidR="00E12C9C" w:rsidRDefault="00E12C9C" w:rsidP="00613C00">
      <w:r>
        <w:separator/>
      </w:r>
    </w:p>
  </w:footnote>
  <w:footnote w:type="continuationSeparator" w:id="0">
    <w:p w14:paraId="28E18FF0" w14:textId="77777777" w:rsidR="00E12C9C" w:rsidRDefault="00E12C9C"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5FF6"/>
    <w:multiLevelType w:val="hybridMultilevel"/>
    <w:tmpl w:val="A3B28D70"/>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nsid w:val="03DF2107"/>
    <w:multiLevelType w:val="multilevel"/>
    <w:tmpl w:val="35E28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
    <w:nsid w:val="0A6D2D6A"/>
    <w:multiLevelType w:val="hybridMultilevel"/>
    <w:tmpl w:val="0E1C8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B33653B"/>
    <w:multiLevelType w:val="hybridMultilevel"/>
    <w:tmpl w:val="0388E08C"/>
    <w:lvl w:ilvl="0" w:tplc="EC68F91A">
      <w:start w:val="1"/>
      <w:numFmt w:val="decimal"/>
      <w:lvlText w:val="%1."/>
      <w:lvlJc w:val="left"/>
      <w:pPr>
        <w:ind w:left="720" w:hanging="360"/>
      </w:pPr>
      <w:rPr>
        <w:rFonts w:cs="Mangal"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BEB5B4A"/>
    <w:multiLevelType w:val="hybridMultilevel"/>
    <w:tmpl w:val="46DE0B9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D507865"/>
    <w:multiLevelType w:val="multilevel"/>
    <w:tmpl w:val="35E28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E32654"/>
    <w:multiLevelType w:val="hybridMultilevel"/>
    <w:tmpl w:val="862485C2"/>
    <w:lvl w:ilvl="0" w:tplc="FD8A19A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3D638DD"/>
    <w:multiLevelType w:val="hybridMultilevel"/>
    <w:tmpl w:val="519C222E"/>
    <w:lvl w:ilvl="0" w:tplc="F0E89C28">
      <w:start w:val="1"/>
      <w:numFmt w:val="decimal"/>
      <w:lvlText w:val="%1."/>
      <w:lvlJc w:val="left"/>
      <w:pPr>
        <w:ind w:left="360" w:hanging="360"/>
      </w:pPr>
      <w:rPr>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146634E7"/>
    <w:multiLevelType w:val="hybridMultilevel"/>
    <w:tmpl w:val="76C863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6EF10C2"/>
    <w:multiLevelType w:val="multilevel"/>
    <w:tmpl w:val="35E28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1F7A7F"/>
    <w:multiLevelType w:val="hybridMultilevel"/>
    <w:tmpl w:val="8F4E421E"/>
    <w:lvl w:ilvl="0" w:tplc="2FB8F7F2">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C40017B"/>
    <w:multiLevelType w:val="hybridMultilevel"/>
    <w:tmpl w:val="F6FA90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CDD0AB2"/>
    <w:multiLevelType w:val="hybridMultilevel"/>
    <w:tmpl w:val="FB8A668C"/>
    <w:lvl w:ilvl="0" w:tplc="9B72D578">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21531BB0"/>
    <w:multiLevelType w:val="hybridMultilevel"/>
    <w:tmpl w:val="A7143130"/>
    <w:lvl w:ilvl="0" w:tplc="60C02E12">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7180FAA"/>
    <w:multiLevelType w:val="hybridMultilevel"/>
    <w:tmpl w:val="BCAC9F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8823F82"/>
    <w:multiLevelType w:val="hybridMultilevel"/>
    <w:tmpl w:val="76C863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FEC2D8B"/>
    <w:multiLevelType w:val="hybridMultilevel"/>
    <w:tmpl w:val="D0E477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5110C80"/>
    <w:multiLevelType w:val="hybridMultilevel"/>
    <w:tmpl w:val="C99E6CF8"/>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5FB1F6C"/>
    <w:multiLevelType w:val="hybridMultilevel"/>
    <w:tmpl w:val="70304174"/>
    <w:lvl w:ilvl="0" w:tplc="941C8A06">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6970BF3"/>
    <w:multiLevelType w:val="hybridMultilevel"/>
    <w:tmpl w:val="0F92946C"/>
    <w:lvl w:ilvl="0" w:tplc="82F8D8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590401"/>
    <w:multiLevelType w:val="hybridMultilevel"/>
    <w:tmpl w:val="8000FC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96D5D35"/>
    <w:multiLevelType w:val="hybridMultilevel"/>
    <w:tmpl w:val="F0601DC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A587D28"/>
    <w:multiLevelType w:val="hybridMultilevel"/>
    <w:tmpl w:val="0402285C"/>
    <w:lvl w:ilvl="0" w:tplc="4BF0B9B0">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BB00D02"/>
    <w:multiLevelType w:val="hybridMultilevel"/>
    <w:tmpl w:val="1D12A4C8"/>
    <w:lvl w:ilvl="0" w:tplc="29540354">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CB946AE"/>
    <w:multiLevelType w:val="hybridMultilevel"/>
    <w:tmpl w:val="CC7AE576"/>
    <w:lvl w:ilvl="0" w:tplc="EEAAA96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7">
    <w:nsid w:val="470668A1"/>
    <w:multiLevelType w:val="hybridMultilevel"/>
    <w:tmpl w:val="B30C6A82"/>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1FC7362"/>
    <w:multiLevelType w:val="hybridMultilevel"/>
    <w:tmpl w:val="B79C579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22F15B4"/>
    <w:multiLevelType w:val="hybridMultilevel"/>
    <w:tmpl w:val="471A19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4741AC1"/>
    <w:multiLevelType w:val="hybridMultilevel"/>
    <w:tmpl w:val="DC78A5A8"/>
    <w:lvl w:ilvl="0" w:tplc="0E8C5D9E">
      <w:start w:val="1"/>
      <w:numFmt w:val="decimal"/>
      <w:lvlText w:val="%1."/>
      <w:lvlJc w:val="left"/>
      <w:pPr>
        <w:ind w:left="375" w:hanging="375"/>
      </w:pPr>
      <w:rPr>
        <w:rFonts w:hint="default"/>
        <w:b/>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55126991"/>
    <w:multiLevelType w:val="hybridMultilevel"/>
    <w:tmpl w:val="761214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59046EB"/>
    <w:multiLevelType w:val="multilevel"/>
    <w:tmpl w:val="35E28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59E4C61"/>
    <w:multiLevelType w:val="hybridMultilevel"/>
    <w:tmpl w:val="5336C6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86A207F"/>
    <w:multiLevelType w:val="multilevel"/>
    <w:tmpl w:val="35E28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B3E1E51"/>
    <w:multiLevelType w:val="hybridMultilevel"/>
    <w:tmpl w:val="E06AF31C"/>
    <w:lvl w:ilvl="0" w:tplc="2776572C">
      <w:start w:val="1"/>
      <w:numFmt w:val="decimal"/>
      <w:lvlText w:val="%1."/>
      <w:lvlJc w:val="left"/>
      <w:pPr>
        <w:tabs>
          <w:tab w:val="num" w:pos="1068"/>
        </w:tabs>
        <w:ind w:left="1068" w:hanging="360"/>
      </w:pPr>
      <w:rPr>
        <w:color w:val="auto"/>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6">
    <w:nsid w:val="5BC262C8"/>
    <w:multiLevelType w:val="hybridMultilevel"/>
    <w:tmpl w:val="76C863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5FB55DF2"/>
    <w:multiLevelType w:val="hybridMultilevel"/>
    <w:tmpl w:val="8168F278"/>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6C733B3"/>
    <w:multiLevelType w:val="hybridMultilevel"/>
    <w:tmpl w:val="2FC4B9B0"/>
    <w:lvl w:ilvl="0" w:tplc="3B7C5834">
      <w:start w:val="3"/>
      <w:numFmt w:val="bullet"/>
      <w:lvlText w:val="-"/>
      <w:lvlJc w:val="left"/>
      <w:pPr>
        <w:ind w:left="1636" w:hanging="360"/>
      </w:pPr>
      <w:rPr>
        <w:rFonts w:ascii="Times New Roman" w:eastAsia="Times New Roman" w:hAnsi="Times New Roman" w:cs="Times New Roman" w:hint="default"/>
        <w:color w:val="auto"/>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39">
    <w:nsid w:val="6C3B71CC"/>
    <w:multiLevelType w:val="hybridMultilevel"/>
    <w:tmpl w:val="76C863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F5841A2"/>
    <w:multiLevelType w:val="multilevel"/>
    <w:tmpl w:val="35E283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7FE1209"/>
    <w:multiLevelType w:val="hybridMultilevel"/>
    <w:tmpl w:val="7F7C3D1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8342A71"/>
    <w:multiLevelType w:val="hybridMultilevel"/>
    <w:tmpl w:val="97A4E786"/>
    <w:lvl w:ilvl="0" w:tplc="9DE4DBE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9E17F98"/>
    <w:multiLevelType w:val="hybridMultilevel"/>
    <w:tmpl w:val="745A1CE4"/>
    <w:lvl w:ilvl="0" w:tplc="EC68F91A">
      <w:start w:val="1"/>
      <w:numFmt w:val="decimal"/>
      <w:lvlText w:val="%1."/>
      <w:lvlJc w:val="left"/>
      <w:pPr>
        <w:ind w:left="1440" w:hanging="360"/>
      </w:pPr>
      <w:rPr>
        <w:rFonts w:cs="Mangal"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4">
    <w:nsid w:val="7C592C78"/>
    <w:multiLevelType w:val="hybridMultilevel"/>
    <w:tmpl w:val="76C863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3"/>
  </w:num>
  <w:num w:numId="5">
    <w:abstractNumId w:val="15"/>
  </w:num>
  <w:num w:numId="6">
    <w:abstractNumId w:val="39"/>
  </w:num>
  <w:num w:numId="7">
    <w:abstractNumId w:val="11"/>
  </w:num>
  <w:num w:numId="8">
    <w:abstractNumId w:val="42"/>
  </w:num>
  <w:num w:numId="9">
    <w:abstractNumId w:val="16"/>
  </w:num>
  <w:num w:numId="10">
    <w:abstractNumId w:val="14"/>
  </w:num>
  <w:num w:numId="11">
    <w:abstractNumId w:val="8"/>
  </w:num>
  <w:num w:numId="12">
    <w:abstractNumId w:val="10"/>
  </w:num>
  <w:num w:numId="13">
    <w:abstractNumId w:val="32"/>
  </w:num>
  <w:num w:numId="14">
    <w:abstractNumId w:val="40"/>
  </w:num>
  <w:num w:numId="15">
    <w:abstractNumId w:val="6"/>
  </w:num>
  <w:num w:numId="16">
    <w:abstractNumId w:val="3"/>
  </w:num>
  <w:num w:numId="17">
    <w:abstractNumId w:val="0"/>
  </w:num>
  <w:num w:numId="18">
    <w:abstractNumId w:val="34"/>
  </w:num>
  <w:num w:numId="19">
    <w:abstractNumId w:val="1"/>
  </w:num>
  <w:num w:numId="20">
    <w:abstractNumId w:val="29"/>
  </w:num>
  <w:num w:numId="21">
    <w:abstractNumId w:val="28"/>
  </w:num>
  <w:num w:numId="22">
    <w:abstractNumId w:val="18"/>
  </w:num>
  <w:num w:numId="23">
    <w:abstractNumId w:val="22"/>
  </w:num>
  <w:num w:numId="24">
    <w:abstractNumId w:val="27"/>
  </w:num>
  <w:num w:numId="25">
    <w:abstractNumId w:val="33"/>
  </w:num>
  <w:num w:numId="26">
    <w:abstractNumId w:val="23"/>
  </w:num>
  <w:num w:numId="27">
    <w:abstractNumId w:val="17"/>
  </w:num>
  <w:num w:numId="28">
    <w:abstractNumId w:val="24"/>
  </w:num>
  <w:num w:numId="29">
    <w:abstractNumId w:val="9"/>
  </w:num>
  <w:num w:numId="30">
    <w:abstractNumId w:val="25"/>
  </w:num>
  <w:num w:numId="31">
    <w:abstractNumId w:val="37"/>
  </w:num>
  <w:num w:numId="32">
    <w:abstractNumId w:val="21"/>
  </w:num>
  <w:num w:numId="33">
    <w:abstractNumId w:val="36"/>
  </w:num>
  <w:num w:numId="34">
    <w:abstractNumId w:val="44"/>
  </w:num>
  <w:num w:numId="35">
    <w:abstractNumId w:val="35"/>
  </w:num>
  <w:num w:numId="36">
    <w:abstractNumId w:val="12"/>
  </w:num>
  <w:num w:numId="37">
    <w:abstractNumId w:val="30"/>
  </w:num>
  <w:num w:numId="38">
    <w:abstractNumId w:val="31"/>
  </w:num>
  <w:num w:numId="39">
    <w:abstractNumId w:val="5"/>
  </w:num>
  <w:num w:numId="40">
    <w:abstractNumId w:val="19"/>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0"/>
  </w:num>
  <w:num w:numId="44">
    <w:abstractNumId w:val="41"/>
  </w:num>
  <w:num w:numId="45">
    <w:abstractNumId w:val="2"/>
  </w:num>
  <w:num w:numId="46">
    <w:abstractNumId w:val="2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47B6A"/>
    <w:rsid w:val="00054350"/>
    <w:rsid w:val="00057B86"/>
    <w:rsid w:val="00060045"/>
    <w:rsid w:val="00064013"/>
    <w:rsid w:val="00064EB0"/>
    <w:rsid w:val="00071D2B"/>
    <w:rsid w:val="00074E2F"/>
    <w:rsid w:val="00095044"/>
    <w:rsid w:val="000A45B8"/>
    <w:rsid w:val="000A7551"/>
    <w:rsid w:val="000D60F9"/>
    <w:rsid w:val="000D7A26"/>
    <w:rsid w:val="000E0DD5"/>
    <w:rsid w:val="000E318D"/>
    <w:rsid w:val="000E3EF2"/>
    <w:rsid w:val="000E5281"/>
    <w:rsid w:val="000E6B05"/>
    <w:rsid w:val="000F4B91"/>
    <w:rsid w:val="00105AAC"/>
    <w:rsid w:val="00110EBC"/>
    <w:rsid w:val="0011750F"/>
    <w:rsid w:val="00122C4B"/>
    <w:rsid w:val="00133F82"/>
    <w:rsid w:val="0013675E"/>
    <w:rsid w:val="00143DB7"/>
    <w:rsid w:val="00151B2D"/>
    <w:rsid w:val="00155CD0"/>
    <w:rsid w:val="00164415"/>
    <w:rsid w:val="001703ED"/>
    <w:rsid w:val="00187C2B"/>
    <w:rsid w:val="00194A12"/>
    <w:rsid w:val="001A0255"/>
    <w:rsid w:val="001A096D"/>
    <w:rsid w:val="001B55CE"/>
    <w:rsid w:val="001B6F85"/>
    <w:rsid w:val="001B7B04"/>
    <w:rsid w:val="001D2668"/>
    <w:rsid w:val="001D3B90"/>
    <w:rsid w:val="001D4F89"/>
    <w:rsid w:val="001D5644"/>
    <w:rsid w:val="001E2C60"/>
    <w:rsid w:val="001F5726"/>
    <w:rsid w:val="002025F7"/>
    <w:rsid w:val="002048BB"/>
    <w:rsid w:val="002053D3"/>
    <w:rsid w:val="00205507"/>
    <w:rsid w:val="00207390"/>
    <w:rsid w:val="0021015B"/>
    <w:rsid w:val="0021075C"/>
    <w:rsid w:val="002139FB"/>
    <w:rsid w:val="002227D5"/>
    <w:rsid w:val="00222C34"/>
    <w:rsid w:val="00226C61"/>
    <w:rsid w:val="002315DB"/>
    <w:rsid w:val="00240658"/>
    <w:rsid w:val="00245163"/>
    <w:rsid w:val="002455CB"/>
    <w:rsid w:val="00251AE9"/>
    <w:rsid w:val="002570E6"/>
    <w:rsid w:val="00264D16"/>
    <w:rsid w:val="00272608"/>
    <w:rsid w:val="002729D9"/>
    <w:rsid w:val="002905F8"/>
    <w:rsid w:val="00294022"/>
    <w:rsid w:val="00297ECB"/>
    <w:rsid w:val="002A388C"/>
    <w:rsid w:val="002A4847"/>
    <w:rsid w:val="002A609E"/>
    <w:rsid w:val="002B4785"/>
    <w:rsid w:val="002B53B2"/>
    <w:rsid w:val="002B6485"/>
    <w:rsid w:val="002B6D62"/>
    <w:rsid w:val="002C61A0"/>
    <w:rsid w:val="002D7E1A"/>
    <w:rsid w:val="002E1099"/>
    <w:rsid w:val="002E2E25"/>
    <w:rsid w:val="00300F9F"/>
    <w:rsid w:val="00316949"/>
    <w:rsid w:val="003172AE"/>
    <w:rsid w:val="00325D89"/>
    <w:rsid w:val="00327489"/>
    <w:rsid w:val="003300B1"/>
    <w:rsid w:val="00331ADB"/>
    <w:rsid w:val="00331D0D"/>
    <w:rsid w:val="0033492C"/>
    <w:rsid w:val="00336A84"/>
    <w:rsid w:val="003464D7"/>
    <w:rsid w:val="003468BD"/>
    <w:rsid w:val="00351D66"/>
    <w:rsid w:val="00366BF4"/>
    <w:rsid w:val="00375A21"/>
    <w:rsid w:val="00385545"/>
    <w:rsid w:val="0039206B"/>
    <w:rsid w:val="003967FD"/>
    <w:rsid w:val="003A4C76"/>
    <w:rsid w:val="003A6ED3"/>
    <w:rsid w:val="003A7888"/>
    <w:rsid w:val="003B3C6C"/>
    <w:rsid w:val="003B4C69"/>
    <w:rsid w:val="003B540B"/>
    <w:rsid w:val="003C45F2"/>
    <w:rsid w:val="003D1787"/>
    <w:rsid w:val="003D3D45"/>
    <w:rsid w:val="003D4243"/>
    <w:rsid w:val="003D45E8"/>
    <w:rsid w:val="003E586E"/>
    <w:rsid w:val="003E6AAD"/>
    <w:rsid w:val="003F2BAD"/>
    <w:rsid w:val="0040496E"/>
    <w:rsid w:val="00414F56"/>
    <w:rsid w:val="00420083"/>
    <w:rsid w:val="004234D8"/>
    <w:rsid w:val="00424DAC"/>
    <w:rsid w:val="00425CFD"/>
    <w:rsid w:val="004320BE"/>
    <w:rsid w:val="00437F4C"/>
    <w:rsid w:val="00441BD2"/>
    <w:rsid w:val="00451D76"/>
    <w:rsid w:val="004608B2"/>
    <w:rsid w:val="00461C6C"/>
    <w:rsid w:val="00465D05"/>
    <w:rsid w:val="004700C1"/>
    <w:rsid w:val="00471351"/>
    <w:rsid w:val="00474376"/>
    <w:rsid w:val="0047551A"/>
    <w:rsid w:val="004877FE"/>
    <w:rsid w:val="00493E93"/>
    <w:rsid w:val="00497761"/>
    <w:rsid w:val="004A0A7F"/>
    <w:rsid w:val="004A1FF8"/>
    <w:rsid w:val="004B065A"/>
    <w:rsid w:val="004C6443"/>
    <w:rsid w:val="004D18B2"/>
    <w:rsid w:val="004D7F8A"/>
    <w:rsid w:val="004E0A0C"/>
    <w:rsid w:val="004E0F09"/>
    <w:rsid w:val="004E1162"/>
    <w:rsid w:val="004E4C96"/>
    <w:rsid w:val="004E6080"/>
    <w:rsid w:val="004E70D6"/>
    <w:rsid w:val="004F1E40"/>
    <w:rsid w:val="00510EE3"/>
    <w:rsid w:val="00513626"/>
    <w:rsid w:val="005164F2"/>
    <w:rsid w:val="00524628"/>
    <w:rsid w:val="00530258"/>
    <w:rsid w:val="00541FC3"/>
    <w:rsid w:val="00542116"/>
    <w:rsid w:val="0055668C"/>
    <w:rsid w:val="005628AF"/>
    <w:rsid w:val="00564FEE"/>
    <w:rsid w:val="005659D4"/>
    <w:rsid w:val="00570EF6"/>
    <w:rsid w:val="00571410"/>
    <w:rsid w:val="005721E0"/>
    <w:rsid w:val="00573300"/>
    <w:rsid w:val="005807D8"/>
    <w:rsid w:val="00584488"/>
    <w:rsid w:val="00585210"/>
    <w:rsid w:val="005934FE"/>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13C00"/>
    <w:rsid w:val="006267CB"/>
    <w:rsid w:val="00626D60"/>
    <w:rsid w:val="00627902"/>
    <w:rsid w:val="00637C0F"/>
    <w:rsid w:val="00650975"/>
    <w:rsid w:val="00651BEE"/>
    <w:rsid w:val="00654850"/>
    <w:rsid w:val="00660287"/>
    <w:rsid w:val="006706D4"/>
    <w:rsid w:val="00672937"/>
    <w:rsid w:val="006735BF"/>
    <w:rsid w:val="00676CB8"/>
    <w:rsid w:val="00694511"/>
    <w:rsid w:val="0069607D"/>
    <w:rsid w:val="006B0CC4"/>
    <w:rsid w:val="006B30BC"/>
    <w:rsid w:val="006B7D47"/>
    <w:rsid w:val="006C02A9"/>
    <w:rsid w:val="006C1DF9"/>
    <w:rsid w:val="006C2538"/>
    <w:rsid w:val="006C2D3D"/>
    <w:rsid w:val="006C3330"/>
    <w:rsid w:val="006D165E"/>
    <w:rsid w:val="006D2469"/>
    <w:rsid w:val="006D2681"/>
    <w:rsid w:val="006D5766"/>
    <w:rsid w:val="006D5C14"/>
    <w:rsid w:val="006E1578"/>
    <w:rsid w:val="006E45E7"/>
    <w:rsid w:val="006F2481"/>
    <w:rsid w:val="006F7070"/>
    <w:rsid w:val="00701FB5"/>
    <w:rsid w:val="0070401C"/>
    <w:rsid w:val="007055CC"/>
    <w:rsid w:val="0070741A"/>
    <w:rsid w:val="00715444"/>
    <w:rsid w:val="00717B81"/>
    <w:rsid w:val="00720F2C"/>
    <w:rsid w:val="00723EC4"/>
    <w:rsid w:val="00730C0B"/>
    <w:rsid w:val="007361E9"/>
    <w:rsid w:val="00737427"/>
    <w:rsid w:val="00741D78"/>
    <w:rsid w:val="00744149"/>
    <w:rsid w:val="007531E4"/>
    <w:rsid w:val="0076016C"/>
    <w:rsid w:val="00761A8E"/>
    <w:rsid w:val="0076318C"/>
    <w:rsid w:val="0077078F"/>
    <w:rsid w:val="007714FF"/>
    <w:rsid w:val="00785297"/>
    <w:rsid w:val="00787C70"/>
    <w:rsid w:val="0079411A"/>
    <w:rsid w:val="00794CCB"/>
    <w:rsid w:val="00794DD7"/>
    <w:rsid w:val="0079593E"/>
    <w:rsid w:val="0079747D"/>
    <w:rsid w:val="007A5CF2"/>
    <w:rsid w:val="007B7048"/>
    <w:rsid w:val="007C457B"/>
    <w:rsid w:val="007C6270"/>
    <w:rsid w:val="007D58C2"/>
    <w:rsid w:val="007D7A8B"/>
    <w:rsid w:val="007F2C4A"/>
    <w:rsid w:val="007F7C6A"/>
    <w:rsid w:val="008010E2"/>
    <w:rsid w:val="008066EB"/>
    <w:rsid w:val="00826147"/>
    <w:rsid w:val="0082660E"/>
    <w:rsid w:val="00833B0C"/>
    <w:rsid w:val="00834A11"/>
    <w:rsid w:val="00834F74"/>
    <w:rsid w:val="008350C2"/>
    <w:rsid w:val="0083644B"/>
    <w:rsid w:val="008378D6"/>
    <w:rsid w:val="0084439D"/>
    <w:rsid w:val="0084746B"/>
    <w:rsid w:val="00847920"/>
    <w:rsid w:val="00853251"/>
    <w:rsid w:val="008536FE"/>
    <w:rsid w:val="00862D21"/>
    <w:rsid w:val="0086570C"/>
    <w:rsid w:val="00866042"/>
    <w:rsid w:val="008666D0"/>
    <w:rsid w:val="00870DC5"/>
    <w:rsid w:val="008735B2"/>
    <w:rsid w:val="00881CC2"/>
    <w:rsid w:val="00883029"/>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483A"/>
    <w:rsid w:val="008F4AEE"/>
    <w:rsid w:val="009055BC"/>
    <w:rsid w:val="00907542"/>
    <w:rsid w:val="00907E7C"/>
    <w:rsid w:val="00911F29"/>
    <w:rsid w:val="0092109F"/>
    <w:rsid w:val="009307B4"/>
    <w:rsid w:val="0093172A"/>
    <w:rsid w:val="00931F26"/>
    <w:rsid w:val="00940842"/>
    <w:rsid w:val="0095232B"/>
    <w:rsid w:val="009535FF"/>
    <w:rsid w:val="009540B7"/>
    <w:rsid w:val="00954ED7"/>
    <w:rsid w:val="009553F5"/>
    <w:rsid w:val="00956A7C"/>
    <w:rsid w:val="009606EE"/>
    <w:rsid w:val="00960920"/>
    <w:rsid w:val="00961CA9"/>
    <w:rsid w:val="00963D04"/>
    <w:rsid w:val="00966BA8"/>
    <w:rsid w:val="00967A66"/>
    <w:rsid w:val="009734E9"/>
    <w:rsid w:val="00981D0A"/>
    <w:rsid w:val="009826A1"/>
    <w:rsid w:val="009843B1"/>
    <w:rsid w:val="00991396"/>
    <w:rsid w:val="009A3986"/>
    <w:rsid w:val="009A7BBF"/>
    <w:rsid w:val="009B13C6"/>
    <w:rsid w:val="009C0B39"/>
    <w:rsid w:val="009C2A44"/>
    <w:rsid w:val="009C38A8"/>
    <w:rsid w:val="009C4926"/>
    <w:rsid w:val="009C7FAB"/>
    <w:rsid w:val="009D61C2"/>
    <w:rsid w:val="009E1B3F"/>
    <w:rsid w:val="009E3EE2"/>
    <w:rsid w:val="009E696D"/>
    <w:rsid w:val="009E6CD7"/>
    <w:rsid w:val="009F1FCB"/>
    <w:rsid w:val="00A001FC"/>
    <w:rsid w:val="00A03B31"/>
    <w:rsid w:val="00A04055"/>
    <w:rsid w:val="00A04736"/>
    <w:rsid w:val="00A10CCF"/>
    <w:rsid w:val="00A14F18"/>
    <w:rsid w:val="00A17D5A"/>
    <w:rsid w:val="00A20CED"/>
    <w:rsid w:val="00A21029"/>
    <w:rsid w:val="00A36D29"/>
    <w:rsid w:val="00A37E7D"/>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6B5F"/>
    <w:rsid w:val="00AB70F4"/>
    <w:rsid w:val="00AC3FCF"/>
    <w:rsid w:val="00AD000C"/>
    <w:rsid w:val="00AD15A6"/>
    <w:rsid w:val="00AD5073"/>
    <w:rsid w:val="00AE0A42"/>
    <w:rsid w:val="00AE14EC"/>
    <w:rsid w:val="00AE6656"/>
    <w:rsid w:val="00B028BE"/>
    <w:rsid w:val="00B166BA"/>
    <w:rsid w:val="00B16E80"/>
    <w:rsid w:val="00B31E2A"/>
    <w:rsid w:val="00B3733C"/>
    <w:rsid w:val="00B5655D"/>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1CF8"/>
    <w:rsid w:val="00BC1FBF"/>
    <w:rsid w:val="00BC6B04"/>
    <w:rsid w:val="00BD2B1E"/>
    <w:rsid w:val="00BD3B08"/>
    <w:rsid w:val="00BE1DF7"/>
    <w:rsid w:val="00BE1FE1"/>
    <w:rsid w:val="00BE2CA0"/>
    <w:rsid w:val="00BE6083"/>
    <w:rsid w:val="00BE6911"/>
    <w:rsid w:val="00BF0E69"/>
    <w:rsid w:val="00BF7BFB"/>
    <w:rsid w:val="00BF7C57"/>
    <w:rsid w:val="00C00595"/>
    <w:rsid w:val="00C100DA"/>
    <w:rsid w:val="00C16A69"/>
    <w:rsid w:val="00C211BB"/>
    <w:rsid w:val="00C5486E"/>
    <w:rsid w:val="00C64962"/>
    <w:rsid w:val="00C81355"/>
    <w:rsid w:val="00C81E7A"/>
    <w:rsid w:val="00C82C5A"/>
    <w:rsid w:val="00C84D36"/>
    <w:rsid w:val="00C91074"/>
    <w:rsid w:val="00C92314"/>
    <w:rsid w:val="00C97AD8"/>
    <w:rsid w:val="00CB21C7"/>
    <w:rsid w:val="00CB3C67"/>
    <w:rsid w:val="00CB6DCB"/>
    <w:rsid w:val="00CB7DED"/>
    <w:rsid w:val="00CD612E"/>
    <w:rsid w:val="00CE0283"/>
    <w:rsid w:val="00CE0CAF"/>
    <w:rsid w:val="00CE2F93"/>
    <w:rsid w:val="00CF02C6"/>
    <w:rsid w:val="00CF0D3F"/>
    <w:rsid w:val="00CF1567"/>
    <w:rsid w:val="00D011D4"/>
    <w:rsid w:val="00D102E5"/>
    <w:rsid w:val="00D1369A"/>
    <w:rsid w:val="00D13989"/>
    <w:rsid w:val="00D20934"/>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B7040"/>
    <w:rsid w:val="00DB7581"/>
    <w:rsid w:val="00DC12D1"/>
    <w:rsid w:val="00DD315D"/>
    <w:rsid w:val="00DD4105"/>
    <w:rsid w:val="00DE0F11"/>
    <w:rsid w:val="00DE72D7"/>
    <w:rsid w:val="00DF1C73"/>
    <w:rsid w:val="00DF2A33"/>
    <w:rsid w:val="00DF3D9F"/>
    <w:rsid w:val="00DF6DBC"/>
    <w:rsid w:val="00DF7B73"/>
    <w:rsid w:val="00E0013F"/>
    <w:rsid w:val="00E12C9C"/>
    <w:rsid w:val="00E24937"/>
    <w:rsid w:val="00E30716"/>
    <w:rsid w:val="00E30FDB"/>
    <w:rsid w:val="00E3231B"/>
    <w:rsid w:val="00E324BA"/>
    <w:rsid w:val="00E3339C"/>
    <w:rsid w:val="00E363EE"/>
    <w:rsid w:val="00E409BB"/>
    <w:rsid w:val="00E477FF"/>
    <w:rsid w:val="00E51BE5"/>
    <w:rsid w:val="00E646DE"/>
    <w:rsid w:val="00E659CD"/>
    <w:rsid w:val="00E660E7"/>
    <w:rsid w:val="00E77614"/>
    <w:rsid w:val="00E80405"/>
    <w:rsid w:val="00E832B3"/>
    <w:rsid w:val="00E838EF"/>
    <w:rsid w:val="00E854E5"/>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6A23"/>
    <w:rsid w:val="00F87769"/>
    <w:rsid w:val="00F92B14"/>
    <w:rsid w:val="00F94672"/>
    <w:rsid w:val="00FB52DE"/>
    <w:rsid w:val="00FB53E2"/>
    <w:rsid w:val="00FC1AA1"/>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1079;&#1072;&#1082;&#1091;&#1087;&#1110;&#1074;&#1083;&#1110;\2021\!%20&#1042;&#1058;\&#1087;&#1110;&#1076;&#1082;&#1083;&#1102;&#1095;&#1077;&#1085;&#1085;&#1103;%20&#1030;&#1085;&#1090;&#1077;&#1088;&#1085;&#1077;&#1090;&#1091;%20&#1063;&#1077;&#1088;&#1077;&#1087;&#1110;&#1074;&#1082;&#1072;\2327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62C14-572E-4A48-91DC-B66AEB18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2492</Words>
  <Characters>1422</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Медведчук Максим Сергійович</cp:lastModifiedBy>
  <cp:revision>2</cp:revision>
  <cp:lastPrinted>2021-08-27T08:42:00Z</cp:lastPrinted>
  <dcterms:created xsi:type="dcterms:W3CDTF">2023-02-20T07:02:00Z</dcterms:created>
  <dcterms:modified xsi:type="dcterms:W3CDTF">2023-02-20T07:02:00Z</dcterms:modified>
</cp:coreProperties>
</file>